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6E088" w14:textId="1946C64F" w:rsidR="007B7C34" w:rsidRDefault="009C64DB" w:rsidP="00966563">
      <w:pPr>
        <w:pStyle w:val="Heading1"/>
        <w:ind w:left="0" w:firstLine="0"/>
      </w:pPr>
      <w:r w:rsidRPr="009C64DB">
        <w:t>Parish finance update 202</w:t>
      </w:r>
      <w:r>
        <w:t>4</w:t>
      </w:r>
    </w:p>
    <w:p w14:paraId="7D41C139" w14:textId="705D08F1" w:rsidR="002E3005" w:rsidRDefault="002E3005" w:rsidP="007F4BAB">
      <w:pPr>
        <w:pStyle w:val="Heading2"/>
        <w:ind w:left="0" w:firstLine="0"/>
      </w:pPr>
      <w:r>
        <w:t xml:space="preserve">Parish </w:t>
      </w:r>
      <w:r w:rsidR="00E3304E">
        <w:t>Finances</w:t>
      </w:r>
    </w:p>
    <w:p w14:paraId="6BDB0BA7" w14:textId="4D5B00ED" w:rsidR="00E3304E" w:rsidRDefault="00E3304E" w:rsidP="002E3005">
      <w:pPr>
        <w:ind w:left="0" w:firstLine="0"/>
      </w:pPr>
      <w:r w:rsidRPr="00E3304E">
        <w:rPr>
          <w:color w:val="0070C0"/>
        </w:rPr>
        <w:t>Key points</w:t>
      </w:r>
      <w:r>
        <w:t>:</w:t>
      </w:r>
    </w:p>
    <w:p w14:paraId="13DE5F0E" w14:textId="46B1B7E6" w:rsidR="00E3304E" w:rsidRDefault="00E3304E" w:rsidP="00483969">
      <w:pPr>
        <w:pStyle w:val="ListParagraph"/>
        <w:numPr>
          <w:ilvl w:val="0"/>
          <w:numId w:val="2"/>
        </w:numPr>
        <w:ind w:left="567" w:hanging="567"/>
      </w:pPr>
      <w:r>
        <w:t>Parish income is falling while expenses are growing</w:t>
      </w:r>
      <w:r w:rsidR="00483969">
        <w:t>.</w:t>
      </w:r>
    </w:p>
    <w:p w14:paraId="1445AB12" w14:textId="41887E42" w:rsidR="00E3304E" w:rsidRDefault="00E3304E" w:rsidP="00483969">
      <w:pPr>
        <w:pStyle w:val="ListParagraph"/>
        <w:numPr>
          <w:ilvl w:val="0"/>
          <w:numId w:val="2"/>
        </w:numPr>
        <w:ind w:left="567" w:hanging="567"/>
      </w:pPr>
      <w:r>
        <w:t xml:space="preserve">If nothing </w:t>
      </w:r>
      <w:proofErr w:type="gramStart"/>
      <w:r>
        <w:t>changes</w:t>
      </w:r>
      <w:proofErr w:type="gramEnd"/>
      <w:r>
        <w:t xml:space="preserve"> we are looking at a substantial deficit in calendar 2024 (about $50,000)</w:t>
      </w:r>
      <w:r w:rsidR="00483969">
        <w:t>.</w:t>
      </w:r>
      <w:r>
        <w:t xml:space="preserve"> </w:t>
      </w:r>
    </w:p>
    <w:p w14:paraId="787C37E9" w14:textId="1B04F793" w:rsidR="00E3304E" w:rsidRDefault="00E3304E" w:rsidP="00483969">
      <w:pPr>
        <w:pStyle w:val="ListParagraph"/>
        <w:numPr>
          <w:ilvl w:val="0"/>
          <w:numId w:val="2"/>
        </w:numPr>
        <w:ind w:left="567" w:hanging="567"/>
      </w:pPr>
      <w:r>
        <w:t>In 2023 some one-off revenue (</w:t>
      </w:r>
      <w:proofErr w:type="spellStart"/>
      <w:r>
        <w:t>eg</w:t>
      </w:r>
      <w:proofErr w:type="spellEnd"/>
      <w:r>
        <w:t xml:space="preserve"> sale of the parish car) enabled </w:t>
      </w:r>
      <w:r w:rsidR="00A73C7C">
        <w:t>the parish</w:t>
      </w:r>
      <w:r>
        <w:t xml:space="preserve"> to record a surplus</w:t>
      </w:r>
      <w:r w:rsidR="00483969">
        <w:t>.</w:t>
      </w:r>
    </w:p>
    <w:p w14:paraId="26097E39" w14:textId="3EF555D1" w:rsidR="00E3304E" w:rsidRDefault="00E3304E" w:rsidP="00483969">
      <w:pPr>
        <w:pStyle w:val="ListParagraph"/>
        <w:numPr>
          <w:ilvl w:val="0"/>
          <w:numId w:val="2"/>
        </w:numPr>
        <w:ind w:left="567" w:hanging="567"/>
      </w:pPr>
      <w:r>
        <w:t xml:space="preserve">Without </w:t>
      </w:r>
      <w:proofErr w:type="gramStart"/>
      <w:r>
        <w:t>those one offs</w:t>
      </w:r>
      <w:proofErr w:type="gramEnd"/>
      <w:r>
        <w:t xml:space="preserve">, the parish would have recorded </w:t>
      </w:r>
      <w:r w:rsidR="00A73C7C">
        <w:t xml:space="preserve">a </w:t>
      </w:r>
      <w:r>
        <w:t xml:space="preserve">significant deficit in 2022, </w:t>
      </w:r>
      <w:r w:rsidR="00A73C7C">
        <w:t xml:space="preserve">a likely deficit in </w:t>
      </w:r>
      <w:r>
        <w:t xml:space="preserve">2023 and now </w:t>
      </w:r>
      <w:r w:rsidR="00372273">
        <w:t xml:space="preserve">a significant projected deficit in </w:t>
      </w:r>
      <w:r>
        <w:t>2024, which is unsustainable</w:t>
      </w:r>
      <w:r w:rsidR="00483969">
        <w:t>.</w:t>
      </w:r>
    </w:p>
    <w:p w14:paraId="17E98B91" w14:textId="034E9D7D" w:rsidR="00E3304E" w:rsidRDefault="00E3304E" w:rsidP="00483969">
      <w:pPr>
        <w:pStyle w:val="ListParagraph"/>
        <w:numPr>
          <w:ilvl w:val="0"/>
          <w:numId w:val="2"/>
        </w:numPr>
        <w:ind w:left="567" w:hanging="567"/>
      </w:pPr>
      <w:r>
        <w:t xml:space="preserve">We need a significant increase in planned giving (‘the second collection’), which constitutes </w:t>
      </w:r>
      <w:r w:rsidR="00483969">
        <w:t xml:space="preserve">about </w:t>
      </w:r>
      <w:r>
        <w:t>7</w:t>
      </w:r>
      <w:r w:rsidR="00372273">
        <w:t>5</w:t>
      </w:r>
      <w:r>
        <w:t xml:space="preserve">% of </w:t>
      </w:r>
      <w:r w:rsidR="00446BA1">
        <w:t>parish</w:t>
      </w:r>
      <w:r>
        <w:t xml:space="preserve"> revenue, to address this</w:t>
      </w:r>
      <w:r w:rsidR="006F6C73">
        <w:t>.</w:t>
      </w:r>
      <w:r>
        <w:t xml:space="preserve"> </w:t>
      </w:r>
    </w:p>
    <w:p w14:paraId="639E75C3" w14:textId="77777777" w:rsidR="00E3304E" w:rsidRPr="003D59BB" w:rsidRDefault="00E3304E" w:rsidP="002E3005">
      <w:pPr>
        <w:ind w:left="0" w:firstLine="0"/>
        <w:rPr>
          <w:color w:val="0070C0"/>
        </w:rPr>
      </w:pPr>
      <w:r w:rsidRPr="003D59BB">
        <w:rPr>
          <w:color w:val="0070C0"/>
        </w:rPr>
        <w:t>Expenses</w:t>
      </w:r>
    </w:p>
    <w:p w14:paraId="69958ECD" w14:textId="0437295B" w:rsidR="005D2483" w:rsidRDefault="001C5CDB" w:rsidP="002E3005">
      <w:pPr>
        <w:ind w:left="0" w:firstLine="0"/>
      </w:pPr>
      <w:r>
        <w:t xml:space="preserve">It is expected to </w:t>
      </w:r>
      <w:r w:rsidR="005D2483">
        <w:t>cost about $190</w:t>
      </w:r>
      <w:r>
        <w:t>,</w:t>
      </w:r>
      <w:r w:rsidR="005D2483">
        <w:t xml:space="preserve">000 to run the parish in </w:t>
      </w:r>
      <w:r>
        <w:t>2024</w:t>
      </w:r>
      <w:r w:rsidR="005D2483">
        <w:t>.</w:t>
      </w:r>
      <w:r w:rsidR="003D59BB">
        <w:t xml:space="preserve"> </w:t>
      </w:r>
      <w:r w:rsidR="00483969">
        <w:t xml:space="preserve"> </w:t>
      </w:r>
      <w:r w:rsidR="003D59BB">
        <w:t>Fuller details are available in the parish financ</w:t>
      </w:r>
      <w:r w:rsidR="00483969">
        <w:t>ial statements</w:t>
      </w:r>
      <w:r w:rsidR="003D59BB">
        <w:t xml:space="preserve">, </w:t>
      </w:r>
      <w:r w:rsidR="00483969">
        <w:t>the latest of which is made available in the church foyer.</w:t>
      </w:r>
      <w:r w:rsidR="003D59BB">
        <w:t xml:space="preserve"> </w:t>
      </w:r>
      <w:r w:rsidR="005D2483">
        <w:t xml:space="preserve"> </w:t>
      </w:r>
      <w:r w:rsidR="003D59BB">
        <w:t>In summary, t</w:t>
      </w:r>
      <w:r w:rsidR="00E3304E">
        <w:t>he largest element</w:t>
      </w:r>
      <w:r w:rsidR="005D2483">
        <w:t>s</w:t>
      </w:r>
      <w:r w:rsidR="00E3304E">
        <w:t xml:space="preserve"> of </w:t>
      </w:r>
      <w:r>
        <w:t xml:space="preserve">budgeted </w:t>
      </w:r>
      <w:r w:rsidR="00E3304E">
        <w:t xml:space="preserve">parish costs </w:t>
      </w:r>
      <w:r w:rsidR="005D2483">
        <w:t>are:</w:t>
      </w:r>
    </w:p>
    <w:p w14:paraId="0126448D" w14:textId="2B2A1F85" w:rsidR="0024394E" w:rsidRDefault="005D2483" w:rsidP="00483969">
      <w:pPr>
        <w:pStyle w:val="ListParagraph"/>
        <w:numPr>
          <w:ilvl w:val="0"/>
          <w:numId w:val="2"/>
        </w:numPr>
        <w:ind w:left="567" w:hanging="567"/>
      </w:pPr>
      <w:r>
        <w:t>Staff salaries and related costs (roughly $45,000, including superannuation for clergy)</w:t>
      </w:r>
      <w:r w:rsidR="001C5CDB">
        <w:t>;</w:t>
      </w:r>
    </w:p>
    <w:p w14:paraId="7444255A" w14:textId="3CF461FC" w:rsidR="0024394E" w:rsidRDefault="0024394E" w:rsidP="00483969">
      <w:pPr>
        <w:pStyle w:val="ListParagraph"/>
        <w:numPr>
          <w:ilvl w:val="0"/>
          <w:numId w:val="2"/>
        </w:numPr>
        <w:ind w:left="567" w:hanging="567"/>
      </w:pPr>
      <w:r>
        <w:t>Repairs and maintenance (about $26,000 – these have increased in recent years</w:t>
      </w:r>
      <w:r w:rsidR="001C5CDB">
        <w:t>.  It is false economy not to maintain parish assets properly</w:t>
      </w:r>
      <w:r>
        <w:t>)</w:t>
      </w:r>
      <w:r w:rsidR="001C5CDB">
        <w:t>;</w:t>
      </w:r>
    </w:p>
    <w:p w14:paraId="4D90A997" w14:textId="51006A39" w:rsidR="005D2483" w:rsidRDefault="005D2483" w:rsidP="00483969">
      <w:pPr>
        <w:pStyle w:val="ListParagraph"/>
        <w:numPr>
          <w:ilvl w:val="0"/>
          <w:numId w:val="2"/>
        </w:numPr>
        <w:ind w:left="567" w:hanging="567"/>
      </w:pPr>
      <w:r>
        <w:t>Insurances (just under $20,000</w:t>
      </w:r>
      <w:r w:rsidR="001C5CDB">
        <w:t>, with a significant increase in recent years reflecting the costs of insuring parish buildings</w:t>
      </w:r>
      <w:r w:rsidR="00072AA7">
        <w:t xml:space="preserve"> – moreover, current policies also require a very large excess payment </w:t>
      </w:r>
      <w:proofErr w:type="gramStart"/>
      <w:r w:rsidR="00072AA7">
        <w:t>in the event that</w:t>
      </w:r>
      <w:proofErr w:type="gramEnd"/>
      <w:r w:rsidR="00072AA7">
        <w:t xml:space="preserve"> a claim is made</w:t>
      </w:r>
      <w:r>
        <w:t>)</w:t>
      </w:r>
      <w:r w:rsidR="001C5CDB">
        <w:t>;</w:t>
      </w:r>
    </w:p>
    <w:p w14:paraId="7A284F79" w14:textId="4D3419AD" w:rsidR="0024394E" w:rsidRDefault="0024394E" w:rsidP="00483969">
      <w:pPr>
        <w:pStyle w:val="ListParagraph"/>
        <w:numPr>
          <w:ilvl w:val="0"/>
          <w:numId w:val="2"/>
        </w:numPr>
        <w:ind w:left="567" w:hanging="567"/>
      </w:pPr>
      <w:r>
        <w:t>Capital items (</w:t>
      </w:r>
      <w:proofErr w:type="spellStart"/>
      <w:r>
        <w:t>eg</w:t>
      </w:r>
      <w:proofErr w:type="spellEnd"/>
      <w:r>
        <w:t xml:space="preserve"> to repair heaters, </w:t>
      </w:r>
      <w:r w:rsidR="00072AA7">
        <w:t xml:space="preserve">install </w:t>
      </w:r>
      <w:r>
        <w:t xml:space="preserve">extra security cameras, </w:t>
      </w:r>
      <w:r w:rsidR="000A1B0B">
        <w:t xml:space="preserve">potentially </w:t>
      </w:r>
      <w:r w:rsidR="002B4DE2">
        <w:t xml:space="preserve">make </w:t>
      </w:r>
      <w:r w:rsidR="00072AA7">
        <w:t>changes</w:t>
      </w:r>
      <w:r>
        <w:t xml:space="preserve"> to the confessional </w:t>
      </w:r>
      <w:r w:rsidR="00072AA7">
        <w:t>to meet safeguarding requirements</w:t>
      </w:r>
      <w:r>
        <w:t>– about $20,000)</w:t>
      </w:r>
      <w:r w:rsidR="001C5CDB">
        <w:t>;</w:t>
      </w:r>
    </w:p>
    <w:p w14:paraId="51488366" w14:textId="3742BB0E" w:rsidR="003D59BB" w:rsidRDefault="0024394E" w:rsidP="00483969">
      <w:pPr>
        <w:pStyle w:val="ListParagraph"/>
        <w:numPr>
          <w:ilvl w:val="0"/>
          <w:numId w:val="2"/>
        </w:numPr>
        <w:ind w:left="567" w:hanging="567"/>
      </w:pPr>
      <w:r>
        <w:t xml:space="preserve">Levies payable to the </w:t>
      </w:r>
      <w:r w:rsidR="006F6C73">
        <w:t>archdiocese</w:t>
      </w:r>
      <w:r>
        <w:t xml:space="preserve"> ($6,000)</w:t>
      </w:r>
      <w:r w:rsidR="003D59BB">
        <w:t>;</w:t>
      </w:r>
      <w:r>
        <w:t xml:space="preserve"> </w:t>
      </w:r>
    </w:p>
    <w:p w14:paraId="2FAE65C8" w14:textId="35DAEC3C" w:rsidR="003D59BB" w:rsidRDefault="000A1B0B" w:rsidP="00483969">
      <w:pPr>
        <w:pStyle w:val="ListParagraph"/>
        <w:numPr>
          <w:ilvl w:val="0"/>
          <w:numId w:val="2"/>
        </w:numPr>
        <w:ind w:left="567" w:hanging="567"/>
      </w:pPr>
      <w:r>
        <w:t>S</w:t>
      </w:r>
      <w:r w:rsidR="0024394E">
        <w:t>upport for charitable works (hospital chaplaincy, Samaritan House, Karinya House, Dominican Sister</w:t>
      </w:r>
      <w:r w:rsidR="002B4DE2">
        <w:t xml:space="preserve">s </w:t>
      </w:r>
      <w:r w:rsidR="006F6C73">
        <w:t>in Timor</w:t>
      </w:r>
      <w:r w:rsidR="0024394E">
        <w:t xml:space="preserve"> Leste - $1</w:t>
      </w:r>
      <w:r>
        <w:t>3</w:t>
      </w:r>
      <w:r w:rsidR="0024394E">
        <w:t>,000</w:t>
      </w:r>
      <w:r w:rsidR="002B4DE2">
        <w:t>)</w:t>
      </w:r>
      <w:r w:rsidR="003D59BB">
        <w:t>;</w:t>
      </w:r>
      <w:r w:rsidR="001C5CDB">
        <w:t xml:space="preserve"> and</w:t>
      </w:r>
    </w:p>
    <w:p w14:paraId="21791711" w14:textId="2A91233F" w:rsidR="003D59BB" w:rsidRDefault="000A1B0B" w:rsidP="00483969">
      <w:pPr>
        <w:pStyle w:val="ListParagraph"/>
        <w:numPr>
          <w:ilvl w:val="0"/>
          <w:numId w:val="2"/>
        </w:numPr>
        <w:ind w:left="567" w:hanging="567"/>
      </w:pPr>
      <w:r>
        <w:t>M</w:t>
      </w:r>
      <w:r w:rsidR="003D59BB">
        <w:t>otor vehicle expenses (about $8,000).</w:t>
      </w:r>
    </w:p>
    <w:p w14:paraId="1E6F0D2D" w14:textId="1F433404" w:rsidR="003D59BB" w:rsidRDefault="003D59BB" w:rsidP="002E3005">
      <w:pPr>
        <w:ind w:left="0" w:firstLine="0"/>
      </w:pPr>
      <w:r>
        <w:t xml:space="preserve">One of the few items to fall </w:t>
      </w:r>
      <w:r w:rsidR="00072AA7">
        <w:t xml:space="preserve">in cost </w:t>
      </w:r>
      <w:r>
        <w:t>over recent years has been electricity, reflecting the significant investment in solar panels that the parish made in</w:t>
      </w:r>
      <w:r w:rsidR="00430CB2">
        <w:t xml:space="preserve"> 2022.</w:t>
      </w:r>
      <w:r>
        <w:t xml:space="preserve"> </w:t>
      </w:r>
      <w:r w:rsidR="00664AF7">
        <w:t xml:space="preserve"> Compared to 2019 (prior to COVID-19 lockdowns and the part year benefits in 2022), the parish’s electricity costs in 2023 have more than halved, even though there has been a (small) increase in electricity consumption in 2023 and electricity prices increased about 15% over that period.</w:t>
      </w:r>
      <w:r w:rsidR="00814709">
        <w:t xml:space="preserve">  The solar panels have also had the environmental benefit in 2023 of saving over 19 tonnes of carbon dioxide emissions or 374 equivalent trees planted.</w:t>
      </w:r>
    </w:p>
    <w:p w14:paraId="2429170F" w14:textId="347E90EC" w:rsidR="0024394E" w:rsidRDefault="003D59BB" w:rsidP="002E3005">
      <w:pPr>
        <w:ind w:left="0" w:firstLine="0"/>
      </w:pPr>
      <w:r>
        <w:t xml:space="preserve">The budget also includes an allowance of just over $4,000 to enable us to participate in a new program supported by the Archdiocese to place a part time, trained youth coordinator in each of </w:t>
      </w:r>
      <w:r>
        <w:lastRenderedPageBreak/>
        <w:t xml:space="preserve">the parishes of the Canberra Inner North Catholic </w:t>
      </w:r>
      <w:r w:rsidR="002B4DE2">
        <w:t>C</w:t>
      </w:r>
      <w:r>
        <w:t>ommunity. We are hoping to defray some of these costs through direct fundraising.</w:t>
      </w:r>
    </w:p>
    <w:p w14:paraId="40B25337" w14:textId="77777777" w:rsidR="003D59BB" w:rsidRPr="003D59BB" w:rsidRDefault="003D59BB" w:rsidP="00CE2AD7">
      <w:pPr>
        <w:keepNext/>
        <w:keepLines/>
        <w:ind w:left="0" w:firstLine="0"/>
        <w:rPr>
          <w:color w:val="0070C0"/>
        </w:rPr>
      </w:pPr>
      <w:r w:rsidRPr="003D59BB">
        <w:rPr>
          <w:color w:val="0070C0"/>
        </w:rPr>
        <w:t>Revenue</w:t>
      </w:r>
    </w:p>
    <w:p w14:paraId="4FFBBDF3" w14:textId="4C51937F" w:rsidR="001C5CDB" w:rsidRDefault="001C5CDB" w:rsidP="00CE2AD7">
      <w:pPr>
        <w:keepNext/>
        <w:keepLines/>
        <w:ind w:left="0" w:firstLine="0"/>
      </w:pPr>
      <w:r>
        <w:t xml:space="preserve">On current projections parish revenue in 2024 is likely to be about $140,000: </w:t>
      </w:r>
    </w:p>
    <w:p w14:paraId="05921B8C" w14:textId="034B80F6" w:rsidR="001C5CDB" w:rsidRDefault="001C5CDB" w:rsidP="001C5CDB">
      <w:pPr>
        <w:pStyle w:val="ListParagraph"/>
        <w:numPr>
          <w:ilvl w:val="0"/>
          <w:numId w:val="4"/>
        </w:numPr>
      </w:pPr>
      <w:r>
        <w:t>Direct giving, on current trends, is expected to amount to about $103,000</w:t>
      </w:r>
      <w:r w:rsidR="00072AA7">
        <w:t xml:space="preserve"> (down from almost $120,000 in 2022)</w:t>
      </w:r>
      <w:r>
        <w:t>;</w:t>
      </w:r>
    </w:p>
    <w:p w14:paraId="70C8C293" w14:textId="6126BD74" w:rsidR="001C5CDB" w:rsidRDefault="001C5CDB" w:rsidP="001C5CDB">
      <w:pPr>
        <w:pStyle w:val="ListParagraph"/>
        <w:numPr>
          <w:ilvl w:val="0"/>
          <w:numId w:val="4"/>
        </w:numPr>
      </w:pPr>
      <w:r>
        <w:t>Rent from the car park (a source of income that many parishes do not have) is set at a bit over $20,000.</w:t>
      </w:r>
    </w:p>
    <w:p w14:paraId="656AFB96" w14:textId="544294F0" w:rsidR="00072AA7" w:rsidRPr="00072AA7" w:rsidRDefault="00072AA7" w:rsidP="002E3005">
      <w:pPr>
        <w:ind w:left="0" w:firstLine="0"/>
        <w:rPr>
          <w:color w:val="0070C0"/>
        </w:rPr>
      </w:pPr>
      <w:r w:rsidRPr="00072AA7">
        <w:rPr>
          <w:color w:val="0070C0"/>
        </w:rPr>
        <w:t>Overall financial result</w:t>
      </w:r>
    </w:p>
    <w:p w14:paraId="074FD95B" w14:textId="60B51D3D" w:rsidR="00182FB8" w:rsidRDefault="00072AA7" w:rsidP="002E3005">
      <w:pPr>
        <w:ind w:left="0" w:firstLine="0"/>
      </w:pPr>
      <w:r>
        <w:t>P</w:t>
      </w:r>
      <w:r w:rsidR="00861D64">
        <w:t xml:space="preserve">revious parish finance updates (2019 and 2022) have shown that the overall trend in </w:t>
      </w:r>
      <w:r>
        <w:t>parish finances</w:t>
      </w:r>
      <w:r w:rsidR="00861D64">
        <w:t xml:space="preserve"> has been downward</w:t>
      </w:r>
      <w:r>
        <w:t xml:space="preserve"> with deficits emerging</w:t>
      </w:r>
      <w:r w:rsidR="00861D64">
        <w:t>.  Lower Mass attendances</w:t>
      </w:r>
      <w:r w:rsidR="0026562C">
        <w:t xml:space="preserve">, including </w:t>
      </w:r>
      <w:proofErr w:type="gramStart"/>
      <w:r w:rsidR="0026562C">
        <w:t>as a consequence of</w:t>
      </w:r>
      <w:proofErr w:type="gramEnd"/>
      <w:r w:rsidR="0026562C">
        <w:t xml:space="preserve"> the COVID-19 pandemic,</w:t>
      </w:r>
      <w:r w:rsidR="00861D64">
        <w:t xml:space="preserve"> have contributed to this.  </w:t>
      </w:r>
      <w:r w:rsidR="0025045E">
        <w:t>So ha</w:t>
      </w:r>
      <w:r w:rsidR="00583638">
        <w:t>ve</w:t>
      </w:r>
      <w:r w:rsidR="00E1251D">
        <w:t xml:space="preserve"> important projects </w:t>
      </w:r>
      <w:r w:rsidR="0025045E">
        <w:t xml:space="preserve">in </w:t>
      </w:r>
      <w:r w:rsidR="00E1251D">
        <w:t>certain</w:t>
      </w:r>
      <w:r w:rsidR="0025045E">
        <w:t xml:space="preserve"> years</w:t>
      </w:r>
      <w:r w:rsidR="00E1251D">
        <w:t>; i</w:t>
      </w:r>
      <w:r w:rsidR="00861D64">
        <w:t xml:space="preserve">n 2022, </w:t>
      </w:r>
      <w:r w:rsidR="00E1251D">
        <w:t xml:space="preserve">for example, capital expenditure </w:t>
      </w:r>
      <w:r w:rsidR="0026562C">
        <w:t xml:space="preserve">of about $44,000 </w:t>
      </w:r>
      <w:r w:rsidR="00E1251D">
        <w:t xml:space="preserve">on a data projector, alarms, solar </w:t>
      </w:r>
      <w:proofErr w:type="gramStart"/>
      <w:r w:rsidR="00E1251D">
        <w:t>panels</w:t>
      </w:r>
      <w:proofErr w:type="gramEnd"/>
      <w:r w:rsidR="00E1251D">
        <w:t xml:space="preserve"> and a multifunction copier contributed to a</w:t>
      </w:r>
      <w:r w:rsidR="00861D64">
        <w:t xml:space="preserve"> deficit.  </w:t>
      </w:r>
    </w:p>
    <w:p w14:paraId="37B132D4" w14:textId="3A0EBA58" w:rsidR="00861D64" w:rsidRDefault="00E1251D" w:rsidP="002E3005">
      <w:pPr>
        <w:ind w:left="0" w:firstLine="0"/>
      </w:pPr>
      <w:r>
        <w:t>In 2023, there was a surplus of almost $54,000</w:t>
      </w:r>
      <w:r w:rsidR="00182FB8">
        <w:t>.  H</w:t>
      </w:r>
      <w:r>
        <w:t xml:space="preserve">owever, </w:t>
      </w:r>
      <w:r w:rsidR="004C6F56">
        <w:t>th</w:t>
      </w:r>
      <w:r w:rsidR="00DC39E9">
        <w:t>is result</w:t>
      </w:r>
      <w:r w:rsidR="004C6F56">
        <w:t xml:space="preserve"> </w:t>
      </w:r>
      <w:r w:rsidR="00DC39E9">
        <w:t>would not have arisen without</w:t>
      </w:r>
      <w:r w:rsidR="004C6F56">
        <w:t xml:space="preserve"> ‘one-off’ items such as the net outcome of insurance claims and the sale of the parish car</w:t>
      </w:r>
      <w:r w:rsidR="00DC39E9">
        <w:t>.</w:t>
      </w:r>
      <w:r w:rsidR="002B4DE2">
        <w:t xml:space="preserve"> </w:t>
      </w:r>
      <w:r w:rsidR="003526AB">
        <w:t xml:space="preserve"> </w:t>
      </w:r>
      <w:r w:rsidR="002B4DE2">
        <w:t xml:space="preserve">Without those one-off factors the parish </w:t>
      </w:r>
      <w:r w:rsidR="007F744F">
        <w:t xml:space="preserve">would likely have </w:t>
      </w:r>
      <w:r w:rsidR="002B4DE2">
        <w:t>sustained an underlying deficit.</w:t>
      </w:r>
    </w:p>
    <w:p w14:paraId="69787B56" w14:textId="4669A225" w:rsidR="00072AA7" w:rsidRPr="00072AA7" w:rsidRDefault="00072AA7" w:rsidP="002E3005">
      <w:pPr>
        <w:ind w:left="0" w:firstLine="0"/>
      </w:pPr>
      <w:r>
        <w:t>On current projections, w</w:t>
      </w:r>
      <w:r w:rsidR="00583638">
        <w:t xml:space="preserve">ithout a significant increase in parish revenue, there is expected to be </w:t>
      </w:r>
      <w:r w:rsidR="00583638" w:rsidRPr="0026562C">
        <w:t xml:space="preserve">a budget deficit </w:t>
      </w:r>
      <w:r w:rsidR="00182FB8" w:rsidRPr="0026562C">
        <w:t xml:space="preserve">this year </w:t>
      </w:r>
      <w:r w:rsidR="002A125B" w:rsidRPr="0026562C">
        <w:t xml:space="preserve">of the order </w:t>
      </w:r>
      <w:r w:rsidR="0026562C" w:rsidRPr="0026562C">
        <w:t xml:space="preserve">of </w:t>
      </w:r>
      <w:r w:rsidRPr="0026562C">
        <w:t xml:space="preserve">$50,000 and </w:t>
      </w:r>
      <w:r w:rsidR="00446BA1">
        <w:t>parish</w:t>
      </w:r>
      <w:r w:rsidRPr="0026562C">
        <w:t xml:space="preserve"> bank balances are declining. </w:t>
      </w:r>
      <w:r w:rsidR="003526AB">
        <w:t xml:space="preserve"> </w:t>
      </w:r>
      <w:r w:rsidRPr="00072AA7">
        <w:t xml:space="preserve">These balances are insurance against future large bills. </w:t>
      </w:r>
      <w:r w:rsidR="003526AB">
        <w:t xml:space="preserve"> </w:t>
      </w:r>
      <w:r w:rsidRPr="00072AA7">
        <w:t xml:space="preserve">For example, it will cost more than $50,000 to resurface the car park at some future point. </w:t>
      </w:r>
      <w:r w:rsidR="003526AB">
        <w:t xml:space="preserve"> </w:t>
      </w:r>
      <w:r w:rsidRPr="00072AA7">
        <w:t>And</w:t>
      </w:r>
      <w:r>
        <w:t xml:space="preserve">, under current insurance arrangements, </w:t>
      </w:r>
      <w:r w:rsidR="0026562C">
        <w:t>the parish</w:t>
      </w:r>
      <w:r>
        <w:t xml:space="preserve"> need</w:t>
      </w:r>
      <w:r w:rsidR="0026562C">
        <w:t>s</w:t>
      </w:r>
      <w:r>
        <w:t xml:space="preserve"> to meet the first </w:t>
      </w:r>
      <w:r w:rsidRPr="0026562C">
        <w:t>$25,000</w:t>
      </w:r>
      <w:r>
        <w:t xml:space="preserve"> of any insurance</w:t>
      </w:r>
      <w:r w:rsidR="002B4DE2">
        <w:t xml:space="preserve"> claim</w:t>
      </w:r>
      <w:r>
        <w:t xml:space="preserve">, which means that the claims on </w:t>
      </w:r>
      <w:r w:rsidR="0026562C">
        <w:t>the</w:t>
      </w:r>
      <w:r>
        <w:t xml:space="preserve"> budget to defray otherwise insurable costs (</w:t>
      </w:r>
      <w:proofErr w:type="spellStart"/>
      <w:r w:rsidR="002B4DE2">
        <w:t>e</w:t>
      </w:r>
      <w:r>
        <w:t>g</w:t>
      </w:r>
      <w:proofErr w:type="spellEnd"/>
      <w:r>
        <w:t xml:space="preserve"> water damage to the parish centre) will no doubt rise over time.  </w:t>
      </w:r>
    </w:p>
    <w:p w14:paraId="343A4E03" w14:textId="7F6F95B8" w:rsidR="007F4BAB" w:rsidRDefault="00547DAA" w:rsidP="002E3005">
      <w:pPr>
        <w:ind w:left="0" w:firstLine="0"/>
      </w:pPr>
      <w:r>
        <w:t xml:space="preserve">It is hoped that the cost of some projects may be able to be offset through fundraising.  </w:t>
      </w:r>
      <w:r w:rsidR="002A125B">
        <w:t xml:space="preserve">However, </w:t>
      </w:r>
      <w:r w:rsidR="00961BE9">
        <w:t>such activities can only help at the margins</w:t>
      </w:r>
      <w:r w:rsidR="0077468F">
        <w:t xml:space="preserve">.  </w:t>
      </w:r>
      <w:r w:rsidR="00961BE9">
        <w:t xml:space="preserve">The only way sustainably to support the financing of the parish is through the </w:t>
      </w:r>
      <w:r w:rsidR="006F6C73">
        <w:t>planned</w:t>
      </w:r>
      <w:r w:rsidR="00961BE9">
        <w:t xml:space="preserve"> giving scheme. </w:t>
      </w:r>
    </w:p>
    <w:p w14:paraId="063F8807" w14:textId="57B4CACF" w:rsidR="0077468F" w:rsidRDefault="002E3005" w:rsidP="0077468F">
      <w:pPr>
        <w:ind w:left="0" w:firstLine="0"/>
      </w:pPr>
      <w:r>
        <w:rPr>
          <w:noProof/>
        </w:rPr>
        <w:drawing>
          <wp:anchor distT="0" distB="0" distL="114300" distR="114300" simplePos="0" relativeHeight="251658240" behindDoc="1" locked="0" layoutInCell="1" allowOverlap="1" wp14:anchorId="608314BE" wp14:editId="302D99F7">
            <wp:simplePos x="0" y="0"/>
            <wp:positionH relativeFrom="margin">
              <wp:posOffset>2781300</wp:posOffset>
            </wp:positionH>
            <wp:positionV relativeFrom="paragraph">
              <wp:posOffset>114300</wp:posOffset>
            </wp:positionV>
            <wp:extent cx="3307080" cy="1897380"/>
            <wp:effectExtent l="0" t="0" r="7620" b="7620"/>
            <wp:wrapTight wrapText="bothSides">
              <wp:wrapPolygon edited="0">
                <wp:start x="0" y="0"/>
                <wp:lineTo x="0" y="21470"/>
                <wp:lineTo x="21525" y="21470"/>
                <wp:lineTo x="21525" y="0"/>
                <wp:lineTo x="0" y="0"/>
              </wp:wrapPolygon>
            </wp:wrapTight>
            <wp:docPr id="48428549" name="Chart 1">
              <a:extLst xmlns:a="http://schemas.openxmlformats.org/drawingml/2006/main">
                <a:ext uri="{FF2B5EF4-FFF2-40B4-BE49-F238E27FC236}">
                  <a16:creationId xmlns:a16="http://schemas.microsoft.com/office/drawing/2014/main" id="{F2FB119A-43FD-4B68-AD84-9AC1375EA4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Pr="00900CFC">
        <w:t xml:space="preserve">This chart shows the </w:t>
      </w:r>
      <w:r w:rsidR="0026562C">
        <w:t>p</w:t>
      </w:r>
      <w:r w:rsidRPr="00900CFC">
        <w:t>arish surpluses and deficits from 200</w:t>
      </w:r>
      <w:r>
        <w:t>7</w:t>
      </w:r>
      <w:r w:rsidRPr="00900CFC">
        <w:t xml:space="preserve"> to 20</w:t>
      </w:r>
      <w:r w:rsidR="0077468F">
        <w:t xml:space="preserve">23 (with 2023 adjusted to remove the estimated ‘one-off’ effects) </w:t>
      </w:r>
      <w:r w:rsidR="003C377C">
        <w:t xml:space="preserve">as well </w:t>
      </w:r>
      <w:r w:rsidR="003C377C" w:rsidRPr="003C377C">
        <w:t>as</w:t>
      </w:r>
      <w:r w:rsidR="0077468F" w:rsidRPr="003C377C">
        <w:t xml:space="preserve"> the forecast 2024 budget deficit</w:t>
      </w:r>
      <w:r w:rsidR="003C377C">
        <w:t>.</w:t>
      </w:r>
      <w:r w:rsidRPr="00900CFC">
        <w:t xml:space="preserve">  </w:t>
      </w:r>
      <w:r w:rsidR="003526AB">
        <w:t xml:space="preserve"> </w:t>
      </w:r>
      <w:r w:rsidRPr="00900CFC">
        <w:t xml:space="preserve">Although </w:t>
      </w:r>
      <w:r w:rsidR="00961BE9">
        <w:t>historically we have secured surpluses in some years,</w:t>
      </w:r>
      <w:r w:rsidRPr="00900CFC">
        <w:t xml:space="preserve"> the overall trend </w:t>
      </w:r>
      <w:r w:rsidR="00F26658">
        <w:t>continues to be</w:t>
      </w:r>
      <w:r w:rsidRPr="00900CFC">
        <w:t xml:space="preserve"> downward</w:t>
      </w:r>
      <w:r>
        <w:t xml:space="preserve"> (notwithstanding the </w:t>
      </w:r>
      <w:r w:rsidR="006F6C73">
        <w:t xml:space="preserve">apparently </w:t>
      </w:r>
      <w:r w:rsidR="0009739E">
        <w:t xml:space="preserve">positive </w:t>
      </w:r>
      <w:r w:rsidR="00961BE9">
        <w:t>result</w:t>
      </w:r>
      <w:r>
        <w:t xml:space="preserve"> last year)</w:t>
      </w:r>
      <w:r w:rsidRPr="00900CFC">
        <w:t>.</w:t>
      </w:r>
      <w:r w:rsidR="0077468F" w:rsidRPr="0077468F">
        <w:t xml:space="preserve"> </w:t>
      </w:r>
    </w:p>
    <w:p w14:paraId="29896A9E" w14:textId="5A741257" w:rsidR="0077468F" w:rsidRDefault="0077468F" w:rsidP="0077468F">
      <w:pPr>
        <w:ind w:left="0" w:firstLine="0"/>
      </w:pPr>
      <w:r w:rsidRPr="00D10FEA">
        <w:t xml:space="preserve">Surpluses allow the </w:t>
      </w:r>
      <w:r w:rsidR="00F26658">
        <w:t>p</w:t>
      </w:r>
      <w:r w:rsidRPr="00D10FEA">
        <w:t xml:space="preserve">arish to save funds for major items of </w:t>
      </w:r>
      <w:r w:rsidR="006F6C73">
        <w:t xml:space="preserve">periodical </w:t>
      </w:r>
      <w:r w:rsidRPr="00D10FEA">
        <w:t>expenditure</w:t>
      </w:r>
      <w:r>
        <w:t xml:space="preserve"> as well as for unplanned expenditure</w:t>
      </w:r>
      <w:r w:rsidRPr="00D10FEA">
        <w:t>.</w:t>
      </w:r>
    </w:p>
    <w:p w14:paraId="133D8F58" w14:textId="77777777" w:rsidR="002E3005" w:rsidRDefault="002E3005" w:rsidP="00D51659">
      <w:pPr>
        <w:pStyle w:val="Heading2"/>
        <w:ind w:left="0" w:firstLine="0"/>
      </w:pPr>
      <w:r>
        <w:lastRenderedPageBreak/>
        <w:t>Planned Giving Scheme</w:t>
      </w:r>
    </w:p>
    <w:p w14:paraId="0A672FB4" w14:textId="297F23BD" w:rsidR="00961BE9" w:rsidRDefault="002E3005" w:rsidP="002E3005">
      <w:pPr>
        <w:ind w:left="0" w:firstLine="0"/>
      </w:pPr>
      <w:r>
        <w:t>The Planned Giving Scheme (via envelopes</w:t>
      </w:r>
      <w:r w:rsidR="00F26658">
        <w:t>,</w:t>
      </w:r>
      <w:r>
        <w:t xml:space="preserve"> direct debit</w:t>
      </w:r>
      <w:r w:rsidR="003526AB">
        <w:t>, electronic funds transfer and debit</w:t>
      </w:r>
      <w:r>
        <w:t>/credit card</w:t>
      </w:r>
      <w:r w:rsidR="003526AB">
        <w:t xml:space="preserve">) as well as </w:t>
      </w:r>
      <w:r w:rsidR="0052265C" w:rsidRPr="001E48D8">
        <w:t>70% of Tap &amp; Go receipts</w:t>
      </w:r>
      <w:r w:rsidR="00961BE9">
        <w:t xml:space="preserve"> and</w:t>
      </w:r>
      <w:r>
        <w:t xml:space="preserve"> loose contributions to the </w:t>
      </w:r>
      <w:r w:rsidR="003526AB">
        <w:t>‘</w:t>
      </w:r>
      <w:r>
        <w:t>second collection</w:t>
      </w:r>
      <w:r w:rsidR="003526AB">
        <w:t>’</w:t>
      </w:r>
      <w:r>
        <w:t xml:space="preserve"> go to meeting the </w:t>
      </w:r>
      <w:r w:rsidR="0009739E">
        <w:t>p</w:t>
      </w:r>
      <w:r>
        <w:t xml:space="preserve">arish financial commitments, including running costs, donations, Archdiocesan </w:t>
      </w:r>
      <w:proofErr w:type="gramStart"/>
      <w:r>
        <w:t>Levies</w:t>
      </w:r>
      <w:proofErr w:type="gramEnd"/>
      <w:r>
        <w:t xml:space="preserve"> and other payments.  </w:t>
      </w:r>
    </w:p>
    <w:p w14:paraId="3DB6EBBB" w14:textId="17A25DA7" w:rsidR="00961BE9" w:rsidRDefault="00961BE9" w:rsidP="002E3005">
      <w:pPr>
        <w:ind w:left="0" w:firstLine="0"/>
      </w:pPr>
      <w:r>
        <w:t>To make a regular contribution through direct debit / electronic funds transfers</w:t>
      </w:r>
      <w:r w:rsidR="0034427C">
        <w:t>, you can make a transfer to the parish bank account as follows:</w:t>
      </w:r>
    </w:p>
    <w:p w14:paraId="633620B6" w14:textId="7C526912" w:rsidR="0034427C" w:rsidRDefault="0034427C" w:rsidP="002E3005">
      <w:pPr>
        <w:ind w:left="0" w:firstLine="0"/>
      </w:pPr>
      <w:r>
        <w:tab/>
        <w:t>Account name:</w:t>
      </w:r>
      <w:r>
        <w:tab/>
        <w:t>Blackfriars Parish Watson</w:t>
      </w:r>
    </w:p>
    <w:p w14:paraId="0CFE82BE" w14:textId="59FCE83A" w:rsidR="0034427C" w:rsidRDefault="0034427C" w:rsidP="002E3005">
      <w:pPr>
        <w:ind w:left="0" w:firstLine="0"/>
      </w:pPr>
      <w:r>
        <w:tab/>
        <w:t>BSB:</w:t>
      </w:r>
      <w:r>
        <w:tab/>
      </w:r>
      <w:r>
        <w:tab/>
      </w:r>
      <w:r>
        <w:tab/>
        <w:t>062786</w:t>
      </w:r>
    </w:p>
    <w:p w14:paraId="1E5883CA" w14:textId="5FD7BF3C" w:rsidR="0034427C" w:rsidRDefault="0034427C" w:rsidP="002E3005">
      <w:pPr>
        <w:ind w:left="0" w:firstLine="0"/>
      </w:pPr>
      <w:r>
        <w:tab/>
        <w:t>Account number:</w:t>
      </w:r>
      <w:r>
        <w:tab/>
        <w:t>000013341</w:t>
      </w:r>
    </w:p>
    <w:p w14:paraId="3ADEDFF2" w14:textId="735490B1" w:rsidR="0034427C" w:rsidRDefault="0034427C" w:rsidP="002E3005">
      <w:pPr>
        <w:ind w:left="0" w:firstLine="0"/>
      </w:pPr>
      <w:r>
        <w:tab/>
        <w:t>Reference:</w:t>
      </w:r>
      <w:r>
        <w:tab/>
      </w:r>
      <w:r>
        <w:tab/>
        <w:t>Name &amp; Giving Number</w:t>
      </w:r>
    </w:p>
    <w:p w14:paraId="463838CB" w14:textId="56E9AA72" w:rsidR="006924C8" w:rsidRDefault="00C22083" w:rsidP="00C22083">
      <w:pPr>
        <w:ind w:left="0" w:firstLine="0"/>
      </w:pPr>
      <w:r>
        <w:t>To</w:t>
      </w:r>
      <w:r w:rsidR="0034427C">
        <w:t xml:space="preserve"> make a regular contribution through </w:t>
      </w:r>
      <w:r>
        <w:t>debit /</w:t>
      </w:r>
      <w:r w:rsidR="0034427C">
        <w:t>credit card transfer</w:t>
      </w:r>
      <w:r w:rsidR="003C377C">
        <w:t xml:space="preserve">s </w:t>
      </w:r>
      <w:r>
        <w:t xml:space="preserve">or to obtain a set of </w:t>
      </w:r>
      <w:r w:rsidRPr="0034427C">
        <w:t>envelopes</w:t>
      </w:r>
      <w:r>
        <w:t xml:space="preserve"> if you don’t already contribute in this way, </w:t>
      </w:r>
      <w:r w:rsidR="006924C8">
        <w:t>please contact the Parish Office.</w:t>
      </w:r>
    </w:p>
    <w:p w14:paraId="61276183" w14:textId="5FE93D46" w:rsidR="00961BE9" w:rsidRDefault="00961BE9" w:rsidP="002E3005">
      <w:pPr>
        <w:ind w:left="0" w:firstLine="0"/>
      </w:pPr>
      <w:r>
        <w:t xml:space="preserve">Regular contributions may also be made to support the priests of the parish (the </w:t>
      </w:r>
      <w:r w:rsidR="003526AB">
        <w:t>‘</w:t>
      </w:r>
      <w:r>
        <w:t>first collection</w:t>
      </w:r>
      <w:r w:rsidR="003526AB">
        <w:t>’</w:t>
      </w:r>
      <w:r>
        <w:t xml:space="preserve">) </w:t>
      </w:r>
      <w:r w:rsidR="003C377C">
        <w:t>as follows:</w:t>
      </w:r>
    </w:p>
    <w:p w14:paraId="482D652E" w14:textId="16D078C5" w:rsidR="003C377C" w:rsidRDefault="003C377C" w:rsidP="003C377C">
      <w:pPr>
        <w:ind w:left="0" w:firstLine="720"/>
      </w:pPr>
      <w:r>
        <w:t>Account name:</w:t>
      </w:r>
      <w:r>
        <w:tab/>
        <w:t>Central Presbytery Fund</w:t>
      </w:r>
    </w:p>
    <w:p w14:paraId="108F7759" w14:textId="77777777" w:rsidR="003C377C" w:rsidRDefault="003C377C" w:rsidP="003C377C">
      <w:pPr>
        <w:ind w:left="0" w:firstLine="0"/>
      </w:pPr>
      <w:r>
        <w:tab/>
        <w:t>BSB:</w:t>
      </w:r>
      <w:r>
        <w:tab/>
      </w:r>
      <w:r>
        <w:tab/>
      </w:r>
      <w:r>
        <w:tab/>
        <w:t>062786</w:t>
      </w:r>
    </w:p>
    <w:p w14:paraId="6AE23871" w14:textId="6C17AD71" w:rsidR="003C377C" w:rsidRDefault="003C377C" w:rsidP="003C377C">
      <w:pPr>
        <w:ind w:left="0" w:firstLine="0"/>
      </w:pPr>
      <w:r>
        <w:tab/>
        <w:t>Account number:</w:t>
      </w:r>
      <w:r>
        <w:tab/>
        <w:t>000029248</w:t>
      </w:r>
    </w:p>
    <w:p w14:paraId="039C4037" w14:textId="3305A2AE" w:rsidR="003C377C" w:rsidRDefault="003C377C" w:rsidP="003C377C">
      <w:pPr>
        <w:ind w:left="2880" w:hanging="2160"/>
      </w:pPr>
      <w:r>
        <w:t>Reference:</w:t>
      </w:r>
      <w:r>
        <w:tab/>
        <w:t>Use your parish location to assist in correct allocation and your name (</w:t>
      </w:r>
      <w:proofErr w:type="spellStart"/>
      <w:r>
        <w:t>eg</w:t>
      </w:r>
      <w:proofErr w:type="spellEnd"/>
      <w:r>
        <w:t xml:space="preserve"> Watson Jones)</w:t>
      </w:r>
    </w:p>
    <w:p w14:paraId="66BDE38F" w14:textId="168BB389" w:rsidR="00372273" w:rsidRDefault="00372273" w:rsidP="002E3005">
      <w:pPr>
        <w:ind w:left="0" w:firstLine="0"/>
      </w:pPr>
      <w:r>
        <w:t>Please note that these details have changed following the departure of the Dominicans.  If you have Electronic Funds Transfer arrangements in place for some time, you may wish to revise them.  This is clearly a personal choice.</w:t>
      </w:r>
    </w:p>
    <w:p w14:paraId="3BB0ED13" w14:textId="79FC7FC0" w:rsidR="002E3005" w:rsidRDefault="004F5621" w:rsidP="002E3005">
      <w:pPr>
        <w:ind w:left="0" w:firstLine="0"/>
      </w:pPr>
      <w:r>
        <w:t>To facilitate the making of donations, the collection plates will be re-introduced to weekend Masses.</w:t>
      </w:r>
    </w:p>
    <w:p w14:paraId="0D83BE08" w14:textId="6F647BC4" w:rsidR="002E3005" w:rsidRDefault="002E3005" w:rsidP="002E3005">
      <w:pPr>
        <w:ind w:left="0" w:firstLine="0"/>
      </w:pPr>
      <w:r>
        <w:t xml:space="preserve">Without your support the </w:t>
      </w:r>
      <w:r w:rsidR="00100473">
        <w:t>p</w:t>
      </w:r>
      <w:r>
        <w:t xml:space="preserve">arish cannot operate effectively.  On behalf of the </w:t>
      </w:r>
      <w:r w:rsidR="00100473">
        <w:t>p</w:t>
      </w:r>
      <w:r>
        <w:t xml:space="preserve">arish, we accordingly encourage all parishioners who have an income to join the Planned Giving Scheme and share in the responsibility of funding our </w:t>
      </w:r>
      <w:r w:rsidR="00100473">
        <w:t>p</w:t>
      </w:r>
      <w:r>
        <w:t>arish community.  If you are already a contributor, you are asked to thoughtfully and prayerfully consider whether you can augment your contribution.  Your level of contribution is obviously a very personal decision.</w:t>
      </w:r>
    </w:p>
    <w:p w14:paraId="24271910" w14:textId="46F0307F" w:rsidR="002E3005" w:rsidRDefault="002E3005" w:rsidP="002E3005">
      <w:pPr>
        <w:ind w:left="0" w:firstLine="0"/>
      </w:pPr>
      <w:r>
        <w:t xml:space="preserve">On behalf of the </w:t>
      </w:r>
      <w:r w:rsidR="00100473">
        <w:t>p</w:t>
      </w:r>
      <w:r>
        <w:t xml:space="preserve">arish, we take this opportunity to thank you for your continuing membership of Blackfriars Parish community.  Thank you also for your financial contributions and for </w:t>
      </w:r>
      <w:r w:rsidR="00001648">
        <w:t xml:space="preserve">the gifts and efforts contributed through </w:t>
      </w:r>
      <w:r>
        <w:t xml:space="preserve">all the volunteer work </w:t>
      </w:r>
      <w:r w:rsidR="00001648">
        <w:t>that helps build the</w:t>
      </w:r>
      <w:r>
        <w:t xml:space="preserve"> </w:t>
      </w:r>
      <w:r w:rsidR="00100473">
        <w:t>p</w:t>
      </w:r>
      <w:r>
        <w:t>arish</w:t>
      </w:r>
      <w:r w:rsidR="00001648">
        <w:t xml:space="preserve"> community</w:t>
      </w:r>
      <w:r>
        <w:t>.</w:t>
      </w:r>
      <w:r w:rsidR="00100473">
        <w:t xml:space="preserve">  </w:t>
      </w:r>
    </w:p>
    <w:p w14:paraId="2316694F" w14:textId="77777777" w:rsidR="00C22083" w:rsidRDefault="00C22083" w:rsidP="00C22083">
      <w:pPr>
        <w:spacing w:before="0"/>
        <w:ind w:left="0" w:firstLine="0"/>
      </w:pPr>
    </w:p>
    <w:p w14:paraId="0042CFEE" w14:textId="77777777" w:rsidR="00C22083" w:rsidRDefault="00C22083" w:rsidP="00C22083">
      <w:pPr>
        <w:spacing w:before="0"/>
        <w:ind w:left="0" w:firstLine="0"/>
      </w:pPr>
    </w:p>
    <w:p w14:paraId="41C3F156" w14:textId="5D3CCAF4" w:rsidR="00C22083" w:rsidRDefault="002E3005" w:rsidP="00C22083">
      <w:pPr>
        <w:spacing w:before="0"/>
        <w:ind w:left="0" w:firstLine="0"/>
      </w:pPr>
      <w:r>
        <w:t xml:space="preserve">Parish Finance Council </w:t>
      </w:r>
    </w:p>
    <w:p w14:paraId="4A902D6F" w14:textId="25A4E3CD" w:rsidR="00483969" w:rsidRDefault="00223E72" w:rsidP="00C22083">
      <w:pPr>
        <w:spacing w:before="0"/>
        <w:ind w:left="0" w:firstLine="0"/>
      </w:pPr>
      <w:r w:rsidRPr="006924C8">
        <w:t xml:space="preserve">16/17 </w:t>
      </w:r>
      <w:r w:rsidR="00F15D61" w:rsidRPr="006924C8">
        <w:t>March 2024</w:t>
      </w:r>
    </w:p>
    <w:p w14:paraId="35235509" w14:textId="2116F05E" w:rsidR="00483969" w:rsidRDefault="00483969" w:rsidP="00483969">
      <w:pPr>
        <w:pStyle w:val="Heading2"/>
        <w:ind w:left="0" w:firstLine="0"/>
      </w:pPr>
      <w:r>
        <w:br w:type="column"/>
      </w:r>
      <w:r w:rsidR="003C377C">
        <w:lastRenderedPageBreak/>
        <w:t>Attachment:  r</w:t>
      </w:r>
      <w:r>
        <w:t>ole of Parish Finance Council</w:t>
      </w:r>
    </w:p>
    <w:p w14:paraId="27820367" w14:textId="77777777" w:rsidR="00483969" w:rsidRDefault="00483969" w:rsidP="00483969">
      <w:pPr>
        <w:ind w:left="0" w:firstLine="0"/>
      </w:pPr>
      <w:r>
        <w:t xml:space="preserve">The </w:t>
      </w:r>
      <w:r w:rsidRPr="00E6102C">
        <w:t xml:space="preserve">role of the </w:t>
      </w:r>
      <w:r>
        <w:t>Parish Finance Council (</w:t>
      </w:r>
      <w:r w:rsidRPr="00E6102C">
        <w:t>PFC</w:t>
      </w:r>
      <w:r>
        <w:t>)</w:t>
      </w:r>
      <w:r w:rsidRPr="00E6102C">
        <w:t xml:space="preserve"> is to advise </w:t>
      </w:r>
      <w:r>
        <w:t>the</w:t>
      </w:r>
      <w:r w:rsidRPr="00E6102C">
        <w:t xml:space="preserve"> Parish Priest in </w:t>
      </w:r>
      <w:r w:rsidRPr="00945A06">
        <w:t>his</w:t>
      </w:r>
      <w:r w:rsidRPr="00E6102C">
        <w:t xml:space="preserve"> role as steward and administrator of </w:t>
      </w:r>
      <w:r>
        <w:t>p</w:t>
      </w:r>
      <w:r w:rsidRPr="00E6102C">
        <w:t>arish property.  The PFC operates under rules issued by the Archbishop.</w:t>
      </w:r>
    </w:p>
    <w:p w14:paraId="41C944AF" w14:textId="77777777" w:rsidR="00483969" w:rsidRPr="00E6102C" w:rsidRDefault="00483969" w:rsidP="00483969">
      <w:pPr>
        <w:ind w:left="0" w:firstLine="0"/>
      </w:pPr>
      <w:r>
        <w:t xml:space="preserve">Membership of the PFC </w:t>
      </w:r>
      <w:r w:rsidRPr="00E6102C">
        <w:t xml:space="preserve">is one of </w:t>
      </w:r>
      <w:r>
        <w:t xml:space="preserve">the </w:t>
      </w:r>
      <w:r w:rsidRPr="00E6102C">
        <w:t xml:space="preserve">many ways of participating and sharing responsibility for the life and mission of the </w:t>
      </w:r>
      <w:r>
        <w:t>p</w:t>
      </w:r>
      <w:r w:rsidRPr="00E6102C">
        <w:t>arish.</w:t>
      </w:r>
    </w:p>
    <w:p w14:paraId="615CC53D" w14:textId="77777777" w:rsidR="00483969" w:rsidRDefault="00483969" w:rsidP="00483969">
      <w:pPr>
        <w:ind w:left="0" w:firstLine="0"/>
      </w:pPr>
      <w:r>
        <w:t xml:space="preserve">PFC deliberations keep in mind the best interests of the parish, its parishioners and those who work for the parish.   </w:t>
      </w:r>
    </w:p>
    <w:p w14:paraId="3F07A2EE" w14:textId="77777777" w:rsidR="00483969" w:rsidRPr="00765508" w:rsidRDefault="00483969" w:rsidP="00483969">
      <w:pPr>
        <w:ind w:left="0" w:firstLine="0"/>
      </w:pPr>
      <w:r>
        <w:t xml:space="preserve">The Archdiocesan rules list some of the skills and competencies that are useful for PFCs:  </w:t>
      </w:r>
      <w:r w:rsidRPr="00A306CC">
        <w:t>property management, architecture, building, maintenance, law, accountancy, information technology and business expertise</w:t>
      </w:r>
      <w:r>
        <w:t xml:space="preserve">.  They also encourage a </w:t>
      </w:r>
      <w:r w:rsidRPr="00A306CC">
        <w:t xml:space="preserve">balance of male and female members and, where possible, across a range of ages </w:t>
      </w:r>
      <w:r>
        <w:t xml:space="preserve">to </w:t>
      </w:r>
      <w:r w:rsidRPr="00A306CC">
        <w:t>ensure that a variety of perspectives is available.</w:t>
      </w:r>
    </w:p>
    <w:p w14:paraId="23026246" w14:textId="24AF3352" w:rsidR="00483969" w:rsidRDefault="00483969" w:rsidP="00483969">
      <w:pPr>
        <w:ind w:left="0" w:firstLine="0"/>
      </w:pPr>
      <w:r w:rsidRPr="00E6102C">
        <w:t>There are</w:t>
      </w:r>
      <w:r>
        <w:t xml:space="preserve"> currently</w:t>
      </w:r>
      <w:r w:rsidRPr="00E6102C">
        <w:t xml:space="preserve"> </w:t>
      </w:r>
      <w:r w:rsidR="006924C8">
        <w:t>4</w:t>
      </w:r>
      <w:r w:rsidRPr="00E6102C">
        <w:t xml:space="preserve"> members of the PFC</w:t>
      </w:r>
      <w:r>
        <w:t xml:space="preserve">: </w:t>
      </w:r>
      <w:r w:rsidRPr="00E6102C">
        <w:t xml:space="preserve"> Fr </w:t>
      </w:r>
      <w:r>
        <w:t xml:space="preserve">Renoir, Joe Cortese, Steve </w:t>
      </w:r>
      <w:proofErr w:type="gramStart"/>
      <w:r>
        <w:t>Sedgwick</w:t>
      </w:r>
      <w:proofErr w:type="gramEnd"/>
      <w:r>
        <w:t xml:space="preserve"> and Roger Paul (Chair)</w:t>
      </w:r>
      <w:r w:rsidRPr="00E6102C">
        <w:t>.  We would welcome more members</w:t>
      </w:r>
      <w:r>
        <w:t>, particularly younger parishioners</w:t>
      </w:r>
      <w:r w:rsidRPr="00E6102C">
        <w:t>.  If you are interested in becoming a member</w:t>
      </w:r>
      <w:r>
        <w:t xml:space="preserve">, or if you have any questions or would like to find out more about what the PFC does, please approach one of the members or contact the parish office (email:  </w:t>
      </w:r>
      <w:hyperlink r:id="rId8" w:history="1">
        <w:r w:rsidRPr="004B2A4F">
          <w:rPr>
            <w:rStyle w:val="Hyperlink"/>
          </w:rPr>
          <w:t>innernorth@cg.org.au</w:t>
        </w:r>
      </w:hyperlink>
      <w:r>
        <w:t xml:space="preserve">; phone:  0416 823 447).  </w:t>
      </w:r>
    </w:p>
    <w:p w14:paraId="657AD3F8" w14:textId="2D80DACB" w:rsidR="00483969" w:rsidRPr="009C64DB" w:rsidRDefault="00483969" w:rsidP="00F15D61">
      <w:pPr>
        <w:spacing w:before="0"/>
        <w:ind w:left="0" w:firstLine="0"/>
      </w:pPr>
    </w:p>
    <w:sectPr w:rsidR="00483969" w:rsidRPr="009C64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8AA8C" w14:textId="77777777" w:rsidR="00951DB3" w:rsidRDefault="00951DB3" w:rsidP="00583638">
      <w:pPr>
        <w:spacing w:before="0" w:line="240" w:lineRule="auto"/>
      </w:pPr>
      <w:r>
        <w:separator/>
      </w:r>
    </w:p>
  </w:endnote>
  <w:endnote w:type="continuationSeparator" w:id="0">
    <w:p w14:paraId="59D7DF39" w14:textId="77777777" w:rsidR="00951DB3" w:rsidRDefault="00951DB3" w:rsidP="0058363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0E829" w14:textId="77777777" w:rsidR="00951DB3" w:rsidRDefault="00951DB3" w:rsidP="00583638">
      <w:pPr>
        <w:spacing w:before="0" w:line="240" w:lineRule="auto"/>
      </w:pPr>
      <w:r>
        <w:separator/>
      </w:r>
    </w:p>
  </w:footnote>
  <w:footnote w:type="continuationSeparator" w:id="0">
    <w:p w14:paraId="0E9CA0BD" w14:textId="77777777" w:rsidR="00951DB3" w:rsidRDefault="00951DB3" w:rsidP="00583638">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86F7F"/>
    <w:multiLevelType w:val="hybridMultilevel"/>
    <w:tmpl w:val="3AAE6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17438E"/>
    <w:multiLevelType w:val="hybridMultilevel"/>
    <w:tmpl w:val="A9661D40"/>
    <w:lvl w:ilvl="0" w:tplc="6A223790">
      <w:start w:val="1"/>
      <w:numFmt w:val="bullet"/>
      <w:lvlText w:val="•"/>
      <w:lvlJc w:val="left"/>
      <w:pPr>
        <w:tabs>
          <w:tab w:val="num" w:pos="360"/>
        </w:tabs>
        <w:ind w:left="360" w:hanging="360"/>
      </w:pPr>
      <w:rPr>
        <w:rFonts w:ascii="Arial" w:hAnsi="Arial" w:hint="default"/>
      </w:rPr>
    </w:lvl>
    <w:lvl w:ilvl="1" w:tplc="E7CAE550" w:tentative="1">
      <w:start w:val="1"/>
      <w:numFmt w:val="bullet"/>
      <w:lvlText w:val="•"/>
      <w:lvlJc w:val="left"/>
      <w:pPr>
        <w:tabs>
          <w:tab w:val="num" w:pos="1080"/>
        </w:tabs>
        <w:ind w:left="1080" w:hanging="360"/>
      </w:pPr>
      <w:rPr>
        <w:rFonts w:ascii="Arial" w:hAnsi="Arial" w:hint="default"/>
      </w:rPr>
    </w:lvl>
    <w:lvl w:ilvl="2" w:tplc="D7A4547C" w:tentative="1">
      <w:start w:val="1"/>
      <w:numFmt w:val="bullet"/>
      <w:lvlText w:val="•"/>
      <w:lvlJc w:val="left"/>
      <w:pPr>
        <w:tabs>
          <w:tab w:val="num" w:pos="1800"/>
        </w:tabs>
        <w:ind w:left="1800" w:hanging="360"/>
      </w:pPr>
      <w:rPr>
        <w:rFonts w:ascii="Arial" w:hAnsi="Arial" w:hint="default"/>
      </w:rPr>
    </w:lvl>
    <w:lvl w:ilvl="3" w:tplc="950C9C08" w:tentative="1">
      <w:start w:val="1"/>
      <w:numFmt w:val="bullet"/>
      <w:lvlText w:val="•"/>
      <w:lvlJc w:val="left"/>
      <w:pPr>
        <w:tabs>
          <w:tab w:val="num" w:pos="2520"/>
        </w:tabs>
        <w:ind w:left="2520" w:hanging="360"/>
      </w:pPr>
      <w:rPr>
        <w:rFonts w:ascii="Arial" w:hAnsi="Arial" w:hint="default"/>
      </w:rPr>
    </w:lvl>
    <w:lvl w:ilvl="4" w:tplc="6ECCF28C" w:tentative="1">
      <w:start w:val="1"/>
      <w:numFmt w:val="bullet"/>
      <w:lvlText w:val="•"/>
      <w:lvlJc w:val="left"/>
      <w:pPr>
        <w:tabs>
          <w:tab w:val="num" w:pos="3240"/>
        </w:tabs>
        <w:ind w:left="3240" w:hanging="360"/>
      </w:pPr>
      <w:rPr>
        <w:rFonts w:ascii="Arial" w:hAnsi="Arial" w:hint="default"/>
      </w:rPr>
    </w:lvl>
    <w:lvl w:ilvl="5" w:tplc="6D26A324" w:tentative="1">
      <w:start w:val="1"/>
      <w:numFmt w:val="bullet"/>
      <w:lvlText w:val="•"/>
      <w:lvlJc w:val="left"/>
      <w:pPr>
        <w:tabs>
          <w:tab w:val="num" w:pos="3960"/>
        </w:tabs>
        <w:ind w:left="3960" w:hanging="360"/>
      </w:pPr>
      <w:rPr>
        <w:rFonts w:ascii="Arial" w:hAnsi="Arial" w:hint="default"/>
      </w:rPr>
    </w:lvl>
    <w:lvl w:ilvl="6" w:tplc="4EA0E642" w:tentative="1">
      <w:start w:val="1"/>
      <w:numFmt w:val="bullet"/>
      <w:lvlText w:val="•"/>
      <w:lvlJc w:val="left"/>
      <w:pPr>
        <w:tabs>
          <w:tab w:val="num" w:pos="4680"/>
        </w:tabs>
        <w:ind w:left="4680" w:hanging="360"/>
      </w:pPr>
      <w:rPr>
        <w:rFonts w:ascii="Arial" w:hAnsi="Arial" w:hint="default"/>
      </w:rPr>
    </w:lvl>
    <w:lvl w:ilvl="7" w:tplc="172C5D32" w:tentative="1">
      <w:start w:val="1"/>
      <w:numFmt w:val="bullet"/>
      <w:lvlText w:val="•"/>
      <w:lvlJc w:val="left"/>
      <w:pPr>
        <w:tabs>
          <w:tab w:val="num" w:pos="5400"/>
        </w:tabs>
        <w:ind w:left="5400" w:hanging="360"/>
      </w:pPr>
      <w:rPr>
        <w:rFonts w:ascii="Arial" w:hAnsi="Arial" w:hint="default"/>
      </w:rPr>
    </w:lvl>
    <w:lvl w:ilvl="8" w:tplc="C34855C2"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49E10941"/>
    <w:multiLevelType w:val="hybridMultilevel"/>
    <w:tmpl w:val="6BE23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F9438BA"/>
    <w:multiLevelType w:val="hybridMultilevel"/>
    <w:tmpl w:val="01D00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6078729">
    <w:abstractNumId w:val="1"/>
  </w:num>
  <w:num w:numId="2" w16cid:durableId="1011683926">
    <w:abstractNumId w:val="0"/>
  </w:num>
  <w:num w:numId="3" w16cid:durableId="184373391">
    <w:abstractNumId w:val="2"/>
  </w:num>
  <w:num w:numId="4" w16cid:durableId="1841501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DB"/>
    <w:rsid w:val="00001648"/>
    <w:rsid w:val="00057B13"/>
    <w:rsid w:val="00072AA7"/>
    <w:rsid w:val="0009739E"/>
    <w:rsid w:val="000A1B0B"/>
    <w:rsid w:val="000B35FF"/>
    <w:rsid w:val="00100473"/>
    <w:rsid w:val="00132A90"/>
    <w:rsid w:val="0016146C"/>
    <w:rsid w:val="00164BAF"/>
    <w:rsid w:val="00174725"/>
    <w:rsid w:val="00182FB8"/>
    <w:rsid w:val="001C5CDB"/>
    <w:rsid w:val="001E48D8"/>
    <w:rsid w:val="00212DCB"/>
    <w:rsid w:val="00223E72"/>
    <w:rsid w:val="0024394E"/>
    <w:rsid w:val="0025045E"/>
    <w:rsid w:val="0025072C"/>
    <w:rsid w:val="0026562C"/>
    <w:rsid w:val="002A125B"/>
    <w:rsid w:val="002B4DE2"/>
    <w:rsid w:val="002C1CD8"/>
    <w:rsid w:val="002E3005"/>
    <w:rsid w:val="00314452"/>
    <w:rsid w:val="0034427C"/>
    <w:rsid w:val="003464EE"/>
    <w:rsid w:val="003526AB"/>
    <w:rsid w:val="00372273"/>
    <w:rsid w:val="003C377C"/>
    <w:rsid w:val="003D59BB"/>
    <w:rsid w:val="004064D5"/>
    <w:rsid w:val="00430CB2"/>
    <w:rsid w:val="00433E00"/>
    <w:rsid w:val="00446BA1"/>
    <w:rsid w:val="00483969"/>
    <w:rsid w:val="004C6F56"/>
    <w:rsid w:val="004F5621"/>
    <w:rsid w:val="0052265C"/>
    <w:rsid w:val="00547DAA"/>
    <w:rsid w:val="00583638"/>
    <w:rsid w:val="005D2483"/>
    <w:rsid w:val="005F3A8F"/>
    <w:rsid w:val="006207CB"/>
    <w:rsid w:val="00651EA3"/>
    <w:rsid w:val="00664AF7"/>
    <w:rsid w:val="00673C3C"/>
    <w:rsid w:val="006924C8"/>
    <w:rsid w:val="006B6DD1"/>
    <w:rsid w:val="006D36EE"/>
    <w:rsid w:val="006E4DF6"/>
    <w:rsid w:val="006F6C73"/>
    <w:rsid w:val="007350A1"/>
    <w:rsid w:val="00765A32"/>
    <w:rsid w:val="0077468F"/>
    <w:rsid w:val="00790AB7"/>
    <w:rsid w:val="007B7C34"/>
    <w:rsid w:val="007F4BAB"/>
    <w:rsid w:val="007F744F"/>
    <w:rsid w:val="00814709"/>
    <w:rsid w:val="00857230"/>
    <w:rsid w:val="00861D64"/>
    <w:rsid w:val="00872E78"/>
    <w:rsid w:val="008F5398"/>
    <w:rsid w:val="0094265F"/>
    <w:rsid w:val="00947D09"/>
    <w:rsid w:val="00947F0D"/>
    <w:rsid w:val="00951DB3"/>
    <w:rsid w:val="00961BE9"/>
    <w:rsid w:val="00966563"/>
    <w:rsid w:val="009C64DB"/>
    <w:rsid w:val="009E274C"/>
    <w:rsid w:val="00A545F0"/>
    <w:rsid w:val="00A73C7C"/>
    <w:rsid w:val="00A93065"/>
    <w:rsid w:val="00B06DB2"/>
    <w:rsid w:val="00B4023F"/>
    <w:rsid w:val="00C1455A"/>
    <w:rsid w:val="00C22083"/>
    <w:rsid w:val="00CA3726"/>
    <w:rsid w:val="00CE2AD7"/>
    <w:rsid w:val="00D05A6C"/>
    <w:rsid w:val="00D51659"/>
    <w:rsid w:val="00D62871"/>
    <w:rsid w:val="00DC39E9"/>
    <w:rsid w:val="00E1251D"/>
    <w:rsid w:val="00E31EF7"/>
    <w:rsid w:val="00E3304E"/>
    <w:rsid w:val="00E530E9"/>
    <w:rsid w:val="00E66E55"/>
    <w:rsid w:val="00E83832"/>
    <w:rsid w:val="00E83ECC"/>
    <w:rsid w:val="00EB3870"/>
    <w:rsid w:val="00F12D37"/>
    <w:rsid w:val="00F15D61"/>
    <w:rsid w:val="00F26658"/>
    <w:rsid w:val="00FD2E5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77581"/>
  <w15:chartTrackingRefBased/>
  <w15:docId w15:val="{A7C70EEB-661B-4A96-8F00-7D477358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AU" w:eastAsia="en-US" w:bidi="th-TH"/>
        <w14:ligatures w14:val="standardContextual"/>
      </w:rPr>
    </w:rPrDefault>
    <w:pPrDefault>
      <w:pPr>
        <w:spacing w:before="240" w:line="259" w:lineRule="auto"/>
        <w:ind w:left="567"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134"/>
    </w:pPr>
  </w:style>
  <w:style w:type="paragraph" w:styleId="Heading1">
    <w:name w:val="heading 1"/>
    <w:basedOn w:val="Normal"/>
    <w:next w:val="Normal"/>
    <w:link w:val="Heading1Char"/>
    <w:uiPriority w:val="9"/>
    <w:qFormat/>
    <w:rsid w:val="009C64DB"/>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9C64DB"/>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9C64DB"/>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9C64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4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4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4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4DB"/>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4DB"/>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4DB"/>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9C64DB"/>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9C64DB"/>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9C64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4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4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4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4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4DB"/>
    <w:rPr>
      <w:rFonts w:eastAsiaTheme="majorEastAsia" w:cstheme="majorBidi"/>
      <w:color w:val="272727" w:themeColor="text1" w:themeTint="D8"/>
    </w:rPr>
  </w:style>
  <w:style w:type="paragraph" w:styleId="Title">
    <w:name w:val="Title"/>
    <w:basedOn w:val="Normal"/>
    <w:next w:val="Normal"/>
    <w:link w:val="TitleChar"/>
    <w:uiPriority w:val="10"/>
    <w:qFormat/>
    <w:rsid w:val="009C64DB"/>
    <w:pPr>
      <w:spacing w:before="0"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C64D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C64DB"/>
    <w:pPr>
      <w:numPr>
        <w:ilvl w:val="1"/>
      </w:numPr>
      <w:spacing w:after="160"/>
      <w:ind w:left="1134" w:hanging="567"/>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C64D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C64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64DB"/>
    <w:rPr>
      <w:i/>
      <w:iCs/>
      <w:color w:val="404040" w:themeColor="text1" w:themeTint="BF"/>
    </w:rPr>
  </w:style>
  <w:style w:type="paragraph" w:styleId="ListParagraph">
    <w:name w:val="List Paragraph"/>
    <w:basedOn w:val="Normal"/>
    <w:uiPriority w:val="34"/>
    <w:qFormat/>
    <w:rsid w:val="009C64DB"/>
    <w:pPr>
      <w:ind w:left="720"/>
      <w:contextualSpacing/>
    </w:pPr>
  </w:style>
  <w:style w:type="character" w:styleId="IntenseEmphasis">
    <w:name w:val="Intense Emphasis"/>
    <w:basedOn w:val="DefaultParagraphFont"/>
    <w:uiPriority w:val="21"/>
    <w:qFormat/>
    <w:rsid w:val="009C64DB"/>
    <w:rPr>
      <w:i/>
      <w:iCs/>
      <w:color w:val="0F4761" w:themeColor="accent1" w:themeShade="BF"/>
    </w:rPr>
  </w:style>
  <w:style w:type="paragraph" w:styleId="IntenseQuote">
    <w:name w:val="Intense Quote"/>
    <w:basedOn w:val="Normal"/>
    <w:next w:val="Normal"/>
    <w:link w:val="IntenseQuoteChar"/>
    <w:uiPriority w:val="30"/>
    <w:qFormat/>
    <w:rsid w:val="009C6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4DB"/>
    <w:rPr>
      <w:i/>
      <w:iCs/>
      <w:color w:val="0F4761" w:themeColor="accent1" w:themeShade="BF"/>
    </w:rPr>
  </w:style>
  <w:style w:type="character" w:styleId="IntenseReference">
    <w:name w:val="Intense Reference"/>
    <w:basedOn w:val="DefaultParagraphFont"/>
    <w:uiPriority w:val="32"/>
    <w:qFormat/>
    <w:rsid w:val="009C64DB"/>
    <w:rPr>
      <w:b/>
      <w:bCs/>
      <w:smallCaps/>
      <w:color w:val="0F4761" w:themeColor="accent1" w:themeShade="BF"/>
      <w:spacing w:val="5"/>
    </w:rPr>
  </w:style>
  <w:style w:type="character" w:styleId="Hyperlink">
    <w:name w:val="Hyperlink"/>
    <w:basedOn w:val="DefaultParagraphFont"/>
    <w:uiPriority w:val="99"/>
    <w:unhideWhenUsed/>
    <w:rsid w:val="00966563"/>
    <w:rPr>
      <w:color w:val="467886" w:themeColor="hyperlink"/>
      <w:u w:val="single"/>
    </w:rPr>
  </w:style>
  <w:style w:type="character" w:styleId="UnresolvedMention">
    <w:name w:val="Unresolved Mention"/>
    <w:basedOn w:val="DefaultParagraphFont"/>
    <w:uiPriority w:val="99"/>
    <w:semiHidden/>
    <w:unhideWhenUsed/>
    <w:rsid w:val="00966563"/>
    <w:rPr>
      <w:color w:val="605E5C"/>
      <w:shd w:val="clear" w:color="auto" w:fill="E1DFDD"/>
    </w:rPr>
  </w:style>
  <w:style w:type="paragraph" w:styleId="Header">
    <w:name w:val="header"/>
    <w:basedOn w:val="Normal"/>
    <w:link w:val="HeaderChar"/>
    <w:uiPriority w:val="99"/>
    <w:unhideWhenUsed/>
    <w:rsid w:val="0058363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83638"/>
  </w:style>
  <w:style w:type="paragraph" w:styleId="Footer">
    <w:name w:val="footer"/>
    <w:basedOn w:val="Normal"/>
    <w:link w:val="FooterChar"/>
    <w:uiPriority w:val="99"/>
    <w:unhideWhenUsed/>
    <w:rsid w:val="0058363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83638"/>
  </w:style>
  <w:style w:type="character" w:styleId="CommentReference">
    <w:name w:val="annotation reference"/>
    <w:basedOn w:val="DefaultParagraphFont"/>
    <w:uiPriority w:val="99"/>
    <w:semiHidden/>
    <w:unhideWhenUsed/>
    <w:rsid w:val="00B06DB2"/>
    <w:rPr>
      <w:sz w:val="16"/>
      <w:szCs w:val="16"/>
    </w:rPr>
  </w:style>
  <w:style w:type="paragraph" w:styleId="CommentText">
    <w:name w:val="annotation text"/>
    <w:basedOn w:val="Normal"/>
    <w:link w:val="CommentTextChar"/>
    <w:uiPriority w:val="99"/>
    <w:unhideWhenUsed/>
    <w:rsid w:val="00B06DB2"/>
    <w:pPr>
      <w:spacing w:line="240" w:lineRule="auto"/>
    </w:pPr>
    <w:rPr>
      <w:sz w:val="20"/>
      <w:szCs w:val="25"/>
    </w:rPr>
  </w:style>
  <w:style w:type="character" w:customStyle="1" w:styleId="CommentTextChar">
    <w:name w:val="Comment Text Char"/>
    <w:basedOn w:val="DefaultParagraphFont"/>
    <w:link w:val="CommentText"/>
    <w:uiPriority w:val="99"/>
    <w:rsid w:val="00B06DB2"/>
    <w:rPr>
      <w:sz w:val="20"/>
      <w:szCs w:val="25"/>
    </w:rPr>
  </w:style>
  <w:style w:type="paragraph" w:styleId="CommentSubject">
    <w:name w:val="annotation subject"/>
    <w:basedOn w:val="CommentText"/>
    <w:next w:val="CommentText"/>
    <w:link w:val="CommentSubjectChar"/>
    <w:uiPriority w:val="99"/>
    <w:semiHidden/>
    <w:unhideWhenUsed/>
    <w:rsid w:val="00B06DB2"/>
    <w:rPr>
      <w:b/>
      <w:bCs/>
    </w:rPr>
  </w:style>
  <w:style w:type="character" w:customStyle="1" w:styleId="CommentSubjectChar">
    <w:name w:val="Comment Subject Char"/>
    <w:basedOn w:val="CommentTextChar"/>
    <w:link w:val="CommentSubject"/>
    <w:uiPriority w:val="99"/>
    <w:semiHidden/>
    <w:rsid w:val="00B06DB2"/>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about:blank"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AU" sz="1200" b="1" i="0" baseline="0">
                <a:solidFill>
                  <a:sysClr val="windowText" lastClr="000000"/>
                </a:solidFill>
                <a:effectLst/>
              </a:rPr>
              <a:t>Surplus / deficit</a:t>
            </a:r>
            <a:endParaRPr lang="en-AU" sz="1200" baseline="0">
              <a:solidFill>
                <a:sysClr val="windowText" lastClr="000000"/>
              </a:solidFill>
              <a:effectLst/>
            </a:endParaRPr>
          </a:p>
        </c:rich>
      </c:tx>
      <c:layout>
        <c:manualLayout>
          <c:xMode val="edge"/>
          <c:yMode val="edge"/>
          <c:x val="0.34198326015699648"/>
          <c:y val="7.4404705435916901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19050" cap="rnd">
              <a:solidFill>
                <a:schemeClr val="accent1">
                  <a:lumMod val="50000"/>
                </a:schemeClr>
              </a:solidFill>
              <a:round/>
            </a:ln>
            <a:effectLst/>
          </c:spPr>
          <c:marker>
            <c:symbol val="none"/>
          </c:marker>
          <c:trendline>
            <c:spPr>
              <a:ln w="25400" cap="rnd">
                <a:solidFill>
                  <a:srgbClr val="FF0000"/>
                </a:solidFill>
                <a:prstDash val="sysDot"/>
              </a:ln>
              <a:effectLst/>
            </c:spPr>
            <c:trendlineType val="linear"/>
            <c:dispRSqr val="0"/>
            <c:dispEq val="0"/>
          </c:trendline>
          <c:cat>
            <c:numRef>
              <c:f>'Income &amp; Expenditure (adjusted)'!$J$3:$AA$3</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'Income &amp; Expenditure (adjusted)'!$J$6:$AA$6</c:f>
              <c:numCache>
                <c:formatCode>#,##0_ ;[Red]\-#,##0\ </c:formatCode>
                <c:ptCount val="18"/>
                <c:pt idx="0">
                  <c:v>1680.5199999999313</c:v>
                </c:pt>
                <c:pt idx="1">
                  <c:v>16862.850000000035</c:v>
                </c:pt>
                <c:pt idx="2">
                  <c:v>44475.110000000015</c:v>
                </c:pt>
                <c:pt idx="3">
                  <c:v>-9040.4599999999919</c:v>
                </c:pt>
                <c:pt idx="4">
                  <c:v>470.5</c:v>
                </c:pt>
                <c:pt idx="5">
                  <c:v>-20.410000000003492</c:v>
                </c:pt>
                <c:pt idx="6">
                  <c:v>-5285.2600000000093</c:v>
                </c:pt>
                <c:pt idx="7">
                  <c:v>14250.040000000008</c:v>
                </c:pt>
                <c:pt idx="8">
                  <c:v>25715.75</c:v>
                </c:pt>
                <c:pt idx="9">
                  <c:v>2803.1900000000023</c:v>
                </c:pt>
                <c:pt idx="10">
                  <c:v>-7078.2200000000012</c:v>
                </c:pt>
                <c:pt idx="11">
                  <c:v>13533.529999999999</c:v>
                </c:pt>
                <c:pt idx="12">
                  <c:v>2001.8499999999767</c:v>
                </c:pt>
                <c:pt idx="13">
                  <c:v>10512.610000000015</c:v>
                </c:pt>
                <c:pt idx="14">
                  <c:v>3331.8999999999942</c:v>
                </c:pt>
                <c:pt idx="15">
                  <c:v>-44460</c:v>
                </c:pt>
                <c:pt idx="16">
                  <c:v>-5332.1600000000035</c:v>
                </c:pt>
                <c:pt idx="17">
                  <c:v>-52935</c:v>
                </c:pt>
              </c:numCache>
            </c:numRef>
          </c:val>
          <c:smooth val="0"/>
          <c:extLst>
            <c:ext xmlns:c16="http://schemas.microsoft.com/office/drawing/2014/chart" uri="{C3380CC4-5D6E-409C-BE32-E72D297353CC}">
              <c16:uniqueId val="{00000001-6B0E-4B6A-89A0-3C5B14271B91}"/>
            </c:ext>
          </c:extLst>
        </c:ser>
        <c:dLbls>
          <c:showLegendKey val="0"/>
          <c:showVal val="0"/>
          <c:showCatName val="0"/>
          <c:showSerName val="0"/>
          <c:showPercent val="0"/>
          <c:showBubbleSize val="0"/>
        </c:dLbls>
        <c:smooth val="0"/>
        <c:axId val="221201784"/>
        <c:axId val="221196688"/>
      </c:lineChart>
      <c:catAx>
        <c:axId val="221201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21196688"/>
        <c:crosses val="autoZero"/>
        <c:auto val="1"/>
        <c:lblAlgn val="ctr"/>
        <c:lblOffset val="100"/>
        <c:noMultiLvlLbl val="0"/>
      </c:catAx>
      <c:valAx>
        <c:axId val="221196688"/>
        <c:scaling>
          <c:orientation val="minMax"/>
        </c:scaling>
        <c:delete val="0"/>
        <c:axPos val="l"/>
        <c:majorGridlines>
          <c:spPr>
            <a:ln w="9525" cap="flat" cmpd="sng" algn="ctr">
              <a:solidFill>
                <a:schemeClr val="tx1">
                  <a:lumMod val="15000"/>
                  <a:lumOff val="85000"/>
                </a:schemeClr>
              </a:solidFill>
              <a:round/>
            </a:ln>
            <a:effectLst/>
          </c:spPr>
        </c:majorGridlines>
        <c:numFmt formatCode="#,##0_ ;[Red]\-#,##0\ "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21201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1272</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DRAFT</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Roger Paul</dc:creator>
  <cp:keywords/>
  <dc:description/>
  <cp:lastModifiedBy>Roger Paul</cp:lastModifiedBy>
  <cp:revision>4</cp:revision>
  <cp:lastPrinted>2024-02-25T03:52:00Z</cp:lastPrinted>
  <dcterms:created xsi:type="dcterms:W3CDTF">2024-03-14T21:12:00Z</dcterms:created>
  <dcterms:modified xsi:type="dcterms:W3CDTF">2024-03-14T21:18:00Z</dcterms:modified>
</cp:coreProperties>
</file>